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B67C" w14:textId="2B4A9768" w:rsidR="00913131" w:rsidRDefault="000B4649" w:rsidP="000B4649">
      <w:pPr>
        <w:jc w:val="center"/>
        <w:rPr>
          <w:b/>
          <w:bCs/>
          <w:color w:val="FF0000"/>
          <w:sz w:val="32"/>
          <w:szCs w:val="32"/>
        </w:rPr>
      </w:pPr>
      <w:r w:rsidRPr="000B4649">
        <w:rPr>
          <w:b/>
          <w:bCs/>
          <w:color w:val="FF0000"/>
          <w:sz w:val="32"/>
          <w:szCs w:val="32"/>
        </w:rPr>
        <w:t>CAS PRATIQUE</w:t>
      </w:r>
    </w:p>
    <w:p w14:paraId="679F4BD1" w14:textId="652C855D" w:rsidR="000B4649" w:rsidRDefault="000B4649" w:rsidP="000B4649">
      <w:pPr>
        <w:jc w:val="center"/>
        <w:rPr>
          <w:b/>
          <w:bCs/>
          <w:color w:val="FF0000"/>
          <w:sz w:val="32"/>
          <w:szCs w:val="32"/>
        </w:rPr>
      </w:pPr>
    </w:p>
    <w:p w14:paraId="5CA79789" w14:textId="77777777" w:rsidR="000B4649" w:rsidRPr="000B4649" w:rsidRDefault="000B4649" w:rsidP="000B4649">
      <w:pPr>
        <w:pStyle w:val="paragraph"/>
        <w:spacing w:before="0" w:beforeAutospacing="0" w:after="0" w:afterAutospacing="0"/>
        <w:jc w:val="both"/>
        <w:textAlignment w:val="baseline"/>
        <w:rPr>
          <w:rFonts w:ascii="Calibri" w:hAnsi="Calibri" w:cs="Calibri"/>
          <w:sz w:val="18"/>
          <w:szCs w:val="18"/>
        </w:rPr>
      </w:pPr>
      <w:r>
        <w:rPr>
          <w:rStyle w:val="eop"/>
        </w:rPr>
        <w:t> </w:t>
      </w:r>
    </w:p>
    <w:p w14:paraId="246D518E" w14:textId="5D097762" w:rsidR="000B4649" w:rsidRDefault="000B4649" w:rsidP="000B4649">
      <w:pPr>
        <w:pStyle w:val="paragraph"/>
        <w:numPr>
          <w:ilvl w:val="0"/>
          <w:numId w:val="6"/>
        </w:numPr>
        <w:spacing w:before="0" w:beforeAutospacing="0" w:after="0" w:afterAutospacing="0"/>
        <w:jc w:val="both"/>
        <w:textAlignment w:val="baseline"/>
        <w:rPr>
          <w:rStyle w:val="eop"/>
          <w:rFonts w:ascii="Calibri" w:hAnsi="Calibri" w:cs="Calibri"/>
        </w:rPr>
      </w:pPr>
      <w:r w:rsidRPr="000B4649">
        <w:rPr>
          <w:rStyle w:val="normaltextrun"/>
          <w:rFonts w:ascii="Calibri" w:hAnsi="Calibri" w:cs="Calibri"/>
          <w:b/>
          <w:bCs/>
        </w:rPr>
        <w:t>Qualifiez les apports réalisés par les associés et calculez le montant d</w:t>
      </w:r>
      <w:r w:rsidRPr="000B4649">
        <w:rPr>
          <w:rStyle w:val="normaltextrun"/>
          <w:rFonts w:ascii="Calibri" w:hAnsi="Calibri" w:cs="Calibri"/>
          <w:b/>
          <w:bCs/>
        </w:rPr>
        <w:t xml:space="preserve">u </w:t>
      </w:r>
      <w:r w:rsidRPr="000B4649">
        <w:rPr>
          <w:rStyle w:val="normaltextrun"/>
          <w:rFonts w:ascii="Calibri" w:hAnsi="Calibri" w:cs="Calibri"/>
          <w:b/>
          <w:bCs/>
        </w:rPr>
        <w:t>capital social. </w:t>
      </w:r>
      <w:r w:rsidRPr="000B4649">
        <w:rPr>
          <w:rStyle w:val="eop"/>
          <w:rFonts w:ascii="Calibri" w:hAnsi="Calibri" w:cs="Calibri"/>
        </w:rPr>
        <w:t> </w:t>
      </w:r>
    </w:p>
    <w:p w14:paraId="6A0B64C9" w14:textId="52265D58" w:rsidR="000B4649" w:rsidRDefault="000B4649" w:rsidP="000B4649">
      <w:pPr>
        <w:pStyle w:val="paragraph"/>
        <w:spacing w:before="0" w:beforeAutospacing="0" w:after="0" w:afterAutospacing="0"/>
        <w:jc w:val="both"/>
        <w:textAlignment w:val="baseline"/>
        <w:rPr>
          <w:rStyle w:val="eop"/>
          <w:rFonts w:ascii="Calibri" w:hAnsi="Calibri" w:cs="Calibri"/>
        </w:rPr>
      </w:pPr>
    </w:p>
    <w:p w14:paraId="24D7C925" w14:textId="73FCFB73" w:rsidR="000B4649" w:rsidRPr="002A77D1" w:rsidRDefault="0070211F" w:rsidP="000B4649">
      <w:pPr>
        <w:pStyle w:val="paragraph"/>
        <w:spacing w:before="0" w:beforeAutospacing="0" w:after="0" w:afterAutospacing="0"/>
        <w:jc w:val="both"/>
        <w:textAlignment w:val="baseline"/>
        <w:rPr>
          <w:rFonts w:ascii="Calibri" w:hAnsi="Calibri" w:cs="Calibri"/>
          <w:u w:val="single"/>
        </w:rPr>
      </w:pPr>
      <w:r w:rsidRPr="002A77D1">
        <w:rPr>
          <w:rFonts w:ascii="Calibri" w:hAnsi="Calibri" w:cs="Calibri"/>
          <w:u w:val="single"/>
        </w:rPr>
        <w:t xml:space="preserve">Rappel du cours : </w:t>
      </w:r>
    </w:p>
    <w:p w14:paraId="4B47716C" w14:textId="1E5926EC" w:rsidR="0070211F" w:rsidRDefault="0070211F" w:rsidP="000B4649">
      <w:pPr>
        <w:pStyle w:val="paragraph"/>
        <w:spacing w:before="0" w:beforeAutospacing="0" w:after="0" w:afterAutospacing="0"/>
        <w:jc w:val="both"/>
        <w:textAlignment w:val="baseline"/>
        <w:rPr>
          <w:rFonts w:ascii="Calibri" w:hAnsi="Calibri" w:cs="Calibri"/>
        </w:rPr>
      </w:pPr>
      <w:r>
        <w:rPr>
          <w:rFonts w:ascii="Calibri" w:hAnsi="Calibri" w:cs="Calibri"/>
        </w:rPr>
        <w:t xml:space="preserve">En droit français, on distingue </w:t>
      </w:r>
      <w:r w:rsidR="005D325A">
        <w:rPr>
          <w:rFonts w:ascii="Calibri" w:hAnsi="Calibri" w:cs="Calibri"/>
        </w:rPr>
        <w:t>trois catégories d’apports </w:t>
      </w:r>
    </w:p>
    <w:p w14:paraId="5D36F610" w14:textId="05F94BE9" w:rsidR="005D325A" w:rsidRDefault="005D325A" w:rsidP="005D325A">
      <w:pPr>
        <w:pStyle w:val="paragraph"/>
        <w:numPr>
          <w:ilvl w:val="0"/>
          <w:numId w:val="7"/>
        </w:numPr>
        <w:spacing w:before="0" w:beforeAutospacing="0" w:after="0" w:afterAutospacing="0"/>
        <w:jc w:val="both"/>
        <w:textAlignment w:val="baseline"/>
        <w:rPr>
          <w:rFonts w:ascii="Calibri" w:hAnsi="Calibri" w:cs="Calibri"/>
        </w:rPr>
      </w:pPr>
      <w:r>
        <w:rPr>
          <w:rFonts w:ascii="Calibri" w:hAnsi="Calibri" w:cs="Calibri"/>
        </w:rPr>
        <w:t xml:space="preserve">Les apports en numéraire = somme d’argent ; </w:t>
      </w:r>
    </w:p>
    <w:p w14:paraId="7FB512A8" w14:textId="56D06FCB" w:rsidR="005D325A" w:rsidRDefault="005D325A" w:rsidP="005D325A">
      <w:pPr>
        <w:pStyle w:val="paragraph"/>
        <w:numPr>
          <w:ilvl w:val="0"/>
          <w:numId w:val="7"/>
        </w:numPr>
        <w:spacing w:before="0" w:beforeAutospacing="0" w:after="0" w:afterAutospacing="0"/>
        <w:jc w:val="both"/>
        <w:textAlignment w:val="baseline"/>
        <w:rPr>
          <w:rFonts w:ascii="Calibri" w:hAnsi="Calibri" w:cs="Calibri"/>
        </w:rPr>
      </w:pPr>
      <w:r>
        <w:rPr>
          <w:rFonts w:ascii="Calibri" w:hAnsi="Calibri" w:cs="Calibri"/>
        </w:rPr>
        <w:t xml:space="preserve">Les apports en nature = biens meubles, corporels ou incorporels ou des biens immeubles ; </w:t>
      </w:r>
    </w:p>
    <w:p w14:paraId="155DAF4B" w14:textId="539DDA83" w:rsidR="005D325A" w:rsidRDefault="005D325A" w:rsidP="005D325A">
      <w:pPr>
        <w:pStyle w:val="paragraph"/>
        <w:numPr>
          <w:ilvl w:val="0"/>
          <w:numId w:val="7"/>
        </w:numPr>
        <w:spacing w:before="0" w:beforeAutospacing="0" w:after="0" w:afterAutospacing="0"/>
        <w:jc w:val="both"/>
        <w:textAlignment w:val="baseline"/>
        <w:rPr>
          <w:rFonts w:ascii="Calibri" w:hAnsi="Calibri" w:cs="Calibri"/>
        </w:rPr>
      </w:pPr>
      <w:r>
        <w:rPr>
          <w:rFonts w:ascii="Calibri" w:hAnsi="Calibri" w:cs="Calibri"/>
        </w:rPr>
        <w:t xml:space="preserve">Les apports en industrie. </w:t>
      </w:r>
    </w:p>
    <w:p w14:paraId="69D4C81A" w14:textId="06821BC5" w:rsidR="005D325A" w:rsidRDefault="005D325A" w:rsidP="005D325A">
      <w:pPr>
        <w:pStyle w:val="paragraph"/>
        <w:spacing w:before="0" w:beforeAutospacing="0" w:after="0" w:afterAutospacing="0"/>
        <w:jc w:val="both"/>
        <w:textAlignment w:val="baseline"/>
        <w:rPr>
          <w:rFonts w:ascii="Calibri" w:hAnsi="Calibri" w:cs="Calibri"/>
        </w:rPr>
      </w:pPr>
      <w:r>
        <w:rPr>
          <w:rFonts w:ascii="Calibri" w:hAnsi="Calibri" w:cs="Calibri"/>
        </w:rPr>
        <w:t xml:space="preserve">Le capital social = apport en numéraire et apport en nature. Les apports en industrie sont exclus du capital social. </w:t>
      </w:r>
    </w:p>
    <w:p w14:paraId="486FFA1B" w14:textId="0C00B846" w:rsidR="005D325A" w:rsidRDefault="005D325A" w:rsidP="005D325A">
      <w:pPr>
        <w:pStyle w:val="paragraph"/>
        <w:spacing w:before="0" w:beforeAutospacing="0" w:after="0" w:afterAutospacing="0"/>
        <w:jc w:val="both"/>
        <w:textAlignment w:val="baseline"/>
        <w:rPr>
          <w:rFonts w:ascii="Calibri" w:hAnsi="Calibri" w:cs="Calibri"/>
        </w:rPr>
      </w:pPr>
      <w:r>
        <w:rPr>
          <w:rFonts w:ascii="Calibri" w:hAnsi="Calibri" w:cs="Calibri"/>
        </w:rPr>
        <w:t xml:space="preserve">Lorsqu’il s’agit d’un apport en nature, ils doivent y faire l’objet d’une évaluation par un commissaire aux apports. On peut ne pas y recourir lorsqu’il y a trois conditions cumulatives : les associés doivent tous être d’accord pour recourir à un commissaire aux apports, aucun bien ne doit dépasser 30 000€ et la somme des apports en nature ne dépassent pas la moitié du capital social. </w:t>
      </w:r>
    </w:p>
    <w:p w14:paraId="12B04DDB" w14:textId="10A78468" w:rsidR="005D325A" w:rsidRDefault="005D325A" w:rsidP="005D325A">
      <w:pPr>
        <w:pStyle w:val="paragraph"/>
        <w:spacing w:before="0" w:beforeAutospacing="0" w:after="0" w:afterAutospacing="0"/>
        <w:jc w:val="both"/>
        <w:textAlignment w:val="baseline"/>
        <w:rPr>
          <w:rFonts w:ascii="Calibri" w:hAnsi="Calibri" w:cs="Calibri"/>
        </w:rPr>
      </w:pPr>
    </w:p>
    <w:p w14:paraId="058F45F4" w14:textId="5C5F7F13" w:rsidR="005D325A" w:rsidRDefault="005D325A" w:rsidP="005D325A">
      <w:pPr>
        <w:pStyle w:val="paragraph"/>
        <w:spacing w:before="0" w:beforeAutospacing="0" w:after="0" w:afterAutospacing="0"/>
        <w:jc w:val="both"/>
        <w:textAlignment w:val="baseline"/>
        <w:rPr>
          <w:rFonts w:ascii="Calibri" w:hAnsi="Calibri" w:cs="Calibri"/>
        </w:rPr>
      </w:pPr>
      <w:r>
        <w:rPr>
          <w:rFonts w:ascii="Calibri" w:hAnsi="Calibri" w:cs="Calibri"/>
        </w:rPr>
        <w:t xml:space="preserve">Le type d’apport des frères est un apport en numéraire (5 000 x 2). </w:t>
      </w:r>
    </w:p>
    <w:p w14:paraId="569AEFF7" w14:textId="409ED728" w:rsidR="005D325A" w:rsidRDefault="005D325A" w:rsidP="005D325A">
      <w:pPr>
        <w:pStyle w:val="paragraph"/>
        <w:spacing w:before="0" w:beforeAutospacing="0" w:after="0" w:afterAutospacing="0"/>
        <w:jc w:val="both"/>
        <w:textAlignment w:val="baseline"/>
        <w:rPr>
          <w:rFonts w:ascii="Calibri" w:hAnsi="Calibri" w:cs="Calibri"/>
        </w:rPr>
      </w:pPr>
    </w:p>
    <w:p w14:paraId="28B0FDDD" w14:textId="77D189F3" w:rsidR="005D325A" w:rsidRDefault="00B152C4" w:rsidP="005D325A">
      <w:pPr>
        <w:pStyle w:val="paragraph"/>
        <w:spacing w:before="0" w:beforeAutospacing="0" w:after="0" w:afterAutospacing="0"/>
        <w:jc w:val="both"/>
        <w:textAlignment w:val="baseline"/>
        <w:rPr>
          <w:rFonts w:ascii="Calibri" w:hAnsi="Calibri" w:cs="Calibri"/>
        </w:rPr>
      </w:pPr>
      <w:r>
        <w:rPr>
          <w:rFonts w:ascii="Calibri" w:hAnsi="Calibri" w:cs="Calibri"/>
        </w:rPr>
        <w:t xml:space="preserve">Le M. LEBRETON </w:t>
      </w:r>
      <w:r w:rsidR="005D325A">
        <w:rPr>
          <w:rFonts w:ascii="Calibri" w:hAnsi="Calibri" w:cs="Calibri"/>
        </w:rPr>
        <w:t xml:space="preserve">Le fait qu’il fasse un apport de 8 000€, nous ne sommes pas obligés d’avoir recourt à un commissaire aux apports. </w:t>
      </w:r>
    </w:p>
    <w:p w14:paraId="78B4F5C6" w14:textId="5145AC4F" w:rsidR="005D325A" w:rsidRDefault="005D325A" w:rsidP="005D325A">
      <w:pPr>
        <w:pStyle w:val="paragraph"/>
        <w:spacing w:before="0" w:beforeAutospacing="0" w:after="0" w:afterAutospacing="0"/>
        <w:jc w:val="both"/>
        <w:textAlignment w:val="baseline"/>
        <w:rPr>
          <w:rFonts w:ascii="Calibri" w:hAnsi="Calibri" w:cs="Calibri"/>
        </w:rPr>
      </w:pPr>
    </w:p>
    <w:p w14:paraId="78F02471" w14:textId="0F2EC4BB" w:rsidR="005D325A" w:rsidRDefault="005D325A" w:rsidP="005D325A">
      <w:pPr>
        <w:pStyle w:val="paragraph"/>
        <w:spacing w:before="0" w:beforeAutospacing="0" w:after="0" w:afterAutospacing="0"/>
        <w:jc w:val="both"/>
        <w:textAlignment w:val="baseline"/>
        <w:rPr>
          <w:rFonts w:ascii="Calibri" w:hAnsi="Calibri" w:cs="Calibri"/>
        </w:rPr>
      </w:pPr>
      <w:r>
        <w:rPr>
          <w:rFonts w:ascii="Calibri" w:hAnsi="Calibri" w:cs="Calibri"/>
        </w:rPr>
        <w:t>Capital social = 18 000€</w:t>
      </w:r>
    </w:p>
    <w:p w14:paraId="3E3053A4" w14:textId="5F059205" w:rsidR="005D325A" w:rsidRDefault="005D325A" w:rsidP="000B4649">
      <w:pPr>
        <w:pStyle w:val="paragraph"/>
        <w:spacing w:before="0" w:beforeAutospacing="0" w:after="0" w:afterAutospacing="0"/>
        <w:jc w:val="both"/>
        <w:textAlignment w:val="baseline"/>
        <w:rPr>
          <w:rFonts w:ascii="Calibri" w:hAnsi="Calibri" w:cs="Calibri"/>
        </w:rPr>
      </w:pPr>
    </w:p>
    <w:p w14:paraId="2AB7D554" w14:textId="77777777" w:rsidR="0070211F" w:rsidRPr="000B4649" w:rsidRDefault="0070211F" w:rsidP="000B4649">
      <w:pPr>
        <w:pStyle w:val="paragraph"/>
        <w:spacing w:before="0" w:beforeAutospacing="0" w:after="0" w:afterAutospacing="0"/>
        <w:jc w:val="both"/>
        <w:textAlignment w:val="baseline"/>
        <w:rPr>
          <w:rFonts w:ascii="Calibri" w:hAnsi="Calibri" w:cs="Calibri"/>
        </w:rPr>
      </w:pPr>
    </w:p>
    <w:p w14:paraId="10DE6A3D" w14:textId="2179676C" w:rsidR="000B4649" w:rsidRDefault="000B4649" w:rsidP="000B4649">
      <w:pPr>
        <w:pStyle w:val="paragraph"/>
        <w:numPr>
          <w:ilvl w:val="0"/>
          <w:numId w:val="6"/>
        </w:numPr>
        <w:spacing w:before="0" w:beforeAutospacing="0" w:after="0" w:afterAutospacing="0"/>
        <w:jc w:val="both"/>
        <w:textAlignment w:val="baseline"/>
        <w:rPr>
          <w:rStyle w:val="eop"/>
          <w:rFonts w:ascii="Calibri" w:hAnsi="Calibri" w:cs="Calibri"/>
        </w:rPr>
      </w:pPr>
      <w:r w:rsidRPr="000B4649">
        <w:rPr>
          <w:rStyle w:val="normaltextrun"/>
          <w:rFonts w:ascii="Calibri" w:hAnsi="Calibri" w:cs="Calibri"/>
          <w:b/>
          <w:bCs/>
        </w:rPr>
        <w:t>En vous aidant de l’annexe 1, expliquez comment Jérôme pourrait être rémunéré pour ses fonctions de gérant. </w:t>
      </w:r>
      <w:r w:rsidRPr="000B4649">
        <w:rPr>
          <w:rStyle w:val="eop"/>
          <w:rFonts w:ascii="Calibri" w:hAnsi="Calibri" w:cs="Calibri"/>
        </w:rPr>
        <w:t> </w:t>
      </w:r>
    </w:p>
    <w:p w14:paraId="5CAC2C18" w14:textId="3CA63A1F" w:rsidR="000B4649" w:rsidRDefault="000B4649" w:rsidP="000B4649">
      <w:pPr>
        <w:pStyle w:val="paragraph"/>
        <w:spacing w:before="0" w:beforeAutospacing="0" w:after="0" w:afterAutospacing="0"/>
        <w:jc w:val="both"/>
        <w:textAlignment w:val="baseline"/>
        <w:rPr>
          <w:rStyle w:val="eop"/>
          <w:rFonts w:ascii="Calibri" w:hAnsi="Calibri" w:cs="Calibri"/>
        </w:rPr>
      </w:pPr>
    </w:p>
    <w:p w14:paraId="25DA2EC3" w14:textId="52CD7602" w:rsidR="002A77D1" w:rsidRPr="002A77D1" w:rsidRDefault="002A77D1" w:rsidP="000B4649">
      <w:pPr>
        <w:pStyle w:val="paragraph"/>
        <w:spacing w:before="0" w:beforeAutospacing="0" w:after="0" w:afterAutospacing="0"/>
        <w:jc w:val="both"/>
        <w:textAlignment w:val="baseline"/>
        <w:rPr>
          <w:rStyle w:val="eop"/>
          <w:rFonts w:ascii="Calibri" w:hAnsi="Calibri" w:cs="Calibri"/>
          <w:u w:val="single"/>
        </w:rPr>
      </w:pPr>
      <w:r w:rsidRPr="002A77D1">
        <w:rPr>
          <w:rFonts w:ascii="Calibri" w:hAnsi="Calibri" w:cs="Calibri"/>
          <w:u w:val="single"/>
        </w:rPr>
        <w:t xml:space="preserve">Rappel du cours : </w:t>
      </w:r>
    </w:p>
    <w:p w14:paraId="50108111" w14:textId="0B004EC2" w:rsidR="00B152C4" w:rsidRDefault="00B152C4" w:rsidP="000B4649">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xml:space="preserve">La rémunération des dirigeants est décidée par les associes, soit au sein des statuts soit en assemblée générale ordinaire. Un associé majoritaire peut décider tout seul de sa </w:t>
      </w:r>
      <w:r w:rsidR="009330CC">
        <w:rPr>
          <w:rStyle w:val="eop"/>
          <w:rFonts w:ascii="Calibri" w:hAnsi="Calibri" w:cs="Calibri"/>
        </w:rPr>
        <w:t>rémunération</w:t>
      </w:r>
      <w:r>
        <w:rPr>
          <w:rStyle w:val="eop"/>
          <w:rFonts w:ascii="Calibri" w:hAnsi="Calibri" w:cs="Calibri"/>
        </w:rPr>
        <w:t xml:space="preserve">. Mais, si la décision semble abusive pour les associés minoritaires alors ils pourront faire un recours devant le juge. </w:t>
      </w:r>
    </w:p>
    <w:p w14:paraId="381827A8" w14:textId="11B619E5" w:rsidR="00B152C4" w:rsidRDefault="00B152C4" w:rsidP="000B4649">
      <w:pPr>
        <w:pStyle w:val="paragraph"/>
        <w:spacing w:before="0" w:beforeAutospacing="0" w:after="0" w:afterAutospacing="0"/>
        <w:jc w:val="both"/>
        <w:textAlignment w:val="baseline"/>
        <w:rPr>
          <w:rStyle w:val="eop"/>
          <w:rFonts w:ascii="Calibri" w:hAnsi="Calibri" w:cs="Calibri"/>
        </w:rPr>
      </w:pPr>
    </w:p>
    <w:p w14:paraId="120C3312" w14:textId="5BE2C35D" w:rsidR="00B152C4" w:rsidRDefault="00B152C4" w:rsidP="000B4649">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xml:space="preserve">La rémunération peut être fixe ou proportionnelle aux résultats. Elle peut être accompagnée davantage en nature ou de primes. Si le dirigeant décide d’exercer sa fonction à titre gratuit il pourra néanmoins se faire rembourser des frais (exemple : frais de déplacement). </w:t>
      </w:r>
    </w:p>
    <w:p w14:paraId="2EF17A0C" w14:textId="77777777" w:rsidR="00B152C4" w:rsidRDefault="00B152C4" w:rsidP="000B4649">
      <w:pPr>
        <w:pStyle w:val="paragraph"/>
        <w:spacing w:before="0" w:beforeAutospacing="0" w:after="0" w:afterAutospacing="0"/>
        <w:jc w:val="both"/>
        <w:textAlignment w:val="baseline"/>
        <w:rPr>
          <w:rStyle w:val="eop"/>
          <w:rFonts w:ascii="Calibri" w:hAnsi="Calibri" w:cs="Calibri"/>
        </w:rPr>
      </w:pPr>
    </w:p>
    <w:p w14:paraId="038027B1" w14:textId="1BAEA5AC" w:rsidR="00B152C4" w:rsidRDefault="00415283" w:rsidP="000B4649">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Concernant le versement de la rémunération, la Cour de cassation a une position stricte comme elle le rappel dans la décision du 25…</w:t>
      </w:r>
    </w:p>
    <w:p w14:paraId="185AC622" w14:textId="6D6FC12B" w:rsidR="00415283" w:rsidRDefault="00415283" w:rsidP="000B4649">
      <w:pPr>
        <w:pStyle w:val="paragraph"/>
        <w:spacing w:before="0" w:beforeAutospacing="0" w:after="0" w:afterAutospacing="0"/>
        <w:jc w:val="both"/>
        <w:textAlignment w:val="baseline"/>
        <w:rPr>
          <w:rStyle w:val="eop"/>
          <w:rFonts w:ascii="Calibri" w:hAnsi="Calibri" w:cs="Calibri"/>
        </w:rPr>
      </w:pPr>
    </w:p>
    <w:p w14:paraId="73527F03" w14:textId="67148506" w:rsidR="00415283" w:rsidRDefault="00415283" w:rsidP="000B4649">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xml:space="preserve">Ce que demande Jérôme c’est possible mais il faut que ce soit inscrit dans les statuts ou que ce soit fait l’occasion d’une AGO. </w:t>
      </w:r>
    </w:p>
    <w:p w14:paraId="1940251A" w14:textId="77777777" w:rsidR="00595C30" w:rsidRDefault="00595C30" w:rsidP="000B4649">
      <w:pPr>
        <w:pStyle w:val="paragraph"/>
        <w:spacing w:before="0" w:beforeAutospacing="0" w:after="0" w:afterAutospacing="0"/>
        <w:jc w:val="both"/>
        <w:textAlignment w:val="baseline"/>
        <w:rPr>
          <w:rStyle w:val="eop"/>
          <w:rFonts w:ascii="Calibri" w:hAnsi="Calibri" w:cs="Calibri"/>
        </w:rPr>
      </w:pPr>
    </w:p>
    <w:p w14:paraId="3E0831F6" w14:textId="77777777" w:rsidR="00B152C4" w:rsidRPr="000B4649" w:rsidRDefault="00B152C4" w:rsidP="000B4649">
      <w:pPr>
        <w:pStyle w:val="paragraph"/>
        <w:spacing w:before="0" w:beforeAutospacing="0" w:after="0" w:afterAutospacing="0"/>
        <w:jc w:val="both"/>
        <w:textAlignment w:val="baseline"/>
        <w:rPr>
          <w:rFonts w:ascii="Calibri" w:hAnsi="Calibri" w:cs="Calibri"/>
        </w:rPr>
      </w:pPr>
    </w:p>
    <w:p w14:paraId="7E66F095" w14:textId="77777777" w:rsidR="00194D5C" w:rsidRPr="00194D5C" w:rsidRDefault="000B4649" w:rsidP="000B4649">
      <w:pPr>
        <w:pStyle w:val="paragraph"/>
        <w:numPr>
          <w:ilvl w:val="0"/>
          <w:numId w:val="4"/>
        </w:numPr>
        <w:spacing w:before="0" w:beforeAutospacing="0" w:after="0" w:afterAutospacing="0"/>
        <w:jc w:val="both"/>
        <w:textAlignment w:val="baseline"/>
        <w:rPr>
          <w:rStyle w:val="normaltextrun"/>
          <w:rFonts w:ascii="Calibri" w:hAnsi="Calibri" w:cs="Calibri"/>
        </w:rPr>
      </w:pPr>
      <w:r w:rsidRPr="000B4649">
        <w:rPr>
          <w:rStyle w:val="normaltextrun"/>
          <w:rFonts w:ascii="Calibri" w:hAnsi="Calibri" w:cs="Calibri"/>
          <w:b/>
          <w:bCs/>
        </w:rPr>
        <w:lastRenderedPageBreak/>
        <w:t>Peut-il cumuler son mandat avec le contrat de travail à temps partiel souhaité ? </w:t>
      </w:r>
    </w:p>
    <w:p w14:paraId="3F9E5BBC" w14:textId="7858B6BA" w:rsidR="000B4649" w:rsidRDefault="000B4649" w:rsidP="00194D5C">
      <w:pPr>
        <w:pStyle w:val="paragraph"/>
        <w:spacing w:before="0" w:beforeAutospacing="0" w:after="0" w:afterAutospacing="0"/>
        <w:ind w:left="720"/>
        <w:jc w:val="both"/>
        <w:textAlignment w:val="baseline"/>
        <w:rPr>
          <w:rStyle w:val="eop"/>
          <w:rFonts w:ascii="Calibri" w:hAnsi="Calibri" w:cs="Calibri"/>
        </w:rPr>
      </w:pPr>
      <w:r w:rsidRPr="000B4649">
        <w:rPr>
          <w:rStyle w:val="eop"/>
          <w:rFonts w:ascii="Calibri" w:hAnsi="Calibri" w:cs="Calibri"/>
        </w:rPr>
        <w:t> </w:t>
      </w:r>
    </w:p>
    <w:p w14:paraId="5EDF4B41" w14:textId="4FEF0EC5" w:rsidR="00194D5C" w:rsidRDefault="00194D5C" w:rsidP="000B4649">
      <w:pPr>
        <w:pStyle w:val="paragraph"/>
        <w:spacing w:before="0" w:beforeAutospacing="0" w:after="0" w:afterAutospacing="0"/>
        <w:jc w:val="both"/>
        <w:textAlignment w:val="baseline"/>
        <w:rPr>
          <w:rFonts w:ascii="Calibri" w:hAnsi="Calibri" w:cs="Calibri"/>
        </w:rPr>
      </w:pPr>
      <w:r>
        <w:rPr>
          <w:rFonts w:ascii="Calibri" w:hAnsi="Calibri" w:cs="Calibri"/>
        </w:rPr>
        <w:t xml:space="preserve">Le dirigeant peut cumuler son mandat social avec un contrat de travail. Il y a des conditions à respecter : </w:t>
      </w:r>
    </w:p>
    <w:p w14:paraId="144ABA48" w14:textId="41A41CBB" w:rsidR="000B4649" w:rsidRDefault="00194D5C" w:rsidP="00194D5C">
      <w:pPr>
        <w:pStyle w:val="paragraph"/>
        <w:numPr>
          <w:ilvl w:val="0"/>
          <w:numId w:val="7"/>
        </w:numPr>
        <w:spacing w:before="0" w:beforeAutospacing="0" w:after="0" w:afterAutospacing="0"/>
        <w:jc w:val="both"/>
        <w:textAlignment w:val="baseline"/>
        <w:rPr>
          <w:rFonts w:ascii="Calibri" w:hAnsi="Calibri" w:cs="Calibri"/>
        </w:rPr>
      </w:pPr>
      <w:r>
        <w:rPr>
          <w:rFonts w:ascii="Calibri" w:hAnsi="Calibri" w:cs="Calibri"/>
        </w:rPr>
        <w:t xml:space="preserve">Le travail salarié doit être réel et effectif, il doit exister un lien de subordination ce qui exclut l’associé majoritaire. </w:t>
      </w:r>
    </w:p>
    <w:p w14:paraId="209A2394" w14:textId="4B7F6C6F" w:rsidR="00194D5C" w:rsidRDefault="00194D5C" w:rsidP="00194D5C">
      <w:pPr>
        <w:pStyle w:val="paragraph"/>
        <w:numPr>
          <w:ilvl w:val="0"/>
          <w:numId w:val="7"/>
        </w:numPr>
        <w:spacing w:before="0" w:beforeAutospacing="0" w:after="0" w:afterAutospacing="0"/>
        <w:jc w:val="both"/>
        <w:textAlignment w:val="baseline"/>
        <w:rPr>
          <w:rFonts w:ascii="Calibri" w:hAnsi="Calibri" w:cs="Calibri"/>
        </w:rPr>
      </w:pPr>
      <w:r>
        <w:rPr>
          <w:rFonts w:ascii="Calibri" w:hAnsi="Calibri" w:cs="Calibri"/>
        </w:rPr>
        <w:t xml:space="preserve">Les fonctions exercées doivent être distinctes des fonctions de mandataires sociales. </w:t>
      </w:r>
    </w:p>
    <w:p w14:paraId="00DDB792" w14:textId="54D814C2" w:rsidR="00194D5C" w:rsidRDefault="00194D5C" w:rsidP="00194D5C">
      <w:pPr>
        <w:pStyle w:val="paragraph"/>
        <w:spacing w:before="0" w:beforeAutospacing="0" w:after="0" w:afterAutospacing="0"/>
        <w:jc w:val="both"/>
        <w:textAlignment w:val="baseline"/>
        <w:rPr>
          <w:rFonts w:ascii="Calibri" w:hAnsi="Calibri" w:cs="Calibri"/>
        </w:rPr>
      </w:pPr>
    </w:p>
    <w:p w14:paraId="00A14394" w14:textId="388339B4" w:rsidR="00194D5C" w:rsidRDefault="00194D5C" w:rsidP="00194D5C">
      <w:pPr>
        <w:pStyle w:val="paragraph"/>
        <w:spacing w:before="0" w:beforeAutospacing="0" w:after="0" w:afterAutospacing="0"/>
        <w:jc w:val="both"/>
        <w:textAlignment w:val="baseline"/>
        <w:rPr>
          <w:rFonts w:ascii="Calibri" w:hAnsi="Calibri" w:cs="Calibri"/>
        </w:rPr>
      </w:pPr>
      <w:r>
        <w:rPr>
          <w:rFonts w:ascii="Calibri" w:hAnsi="Calibri" w:cs="Calibri"/>
        </w:rPr>
        <w:t>En l’espèce, Jérôme n’est pas associé majoritaire, l’emploi est réel et les fonctions de soigneurs sont bien différentes de celles d’un gérant de SARL. Donc ici, le cumul est possible.</w:t>
      </w:r>
    </w:p>
    <w:p w14:paraId="1D498D54" w14:textId="77777777" w:rsidR="00194D5C" w:rsidRPr="000B4649" w:rsidRDefault="00194D5C" w:rsidP="00194D5C">
      <w:pPr>
        <w:pStyle w:val="paragraph"/>
        <w:spacing w:before="0" w:beforeAutospacing="0" w:after="0" w:afterAutospacing="0"/>
        <w:jc w:val="both"/>
        <w:textAlignment w:val="baseline"/>
        <w:rPr>
          <w:rFonts w:ascii="Calibri" w:hAnsi="Calibri" w:cs="Calibri"/>
        </w:rPr>
      </w:pPr>
    </w:p>
    <w:p w14:paraId="39321044" w14:textId="034AF52C" w:rsidR="000B4649" w:rsidRDefault="000B4649" w:rsidP="000B4649">
      <w:pPr>
        <w:pStyle w:val="paragraph"/>
        <w:numPr>
          <w:ilvl w:val="0"/>
          <w:numId w:val="4"/>
        </w:numPr>
        <w:spacing w:before="0" w:beforeAutospacing="0" w:after="0" w:afterAutospacing="0"/>
        <w:jc w:val="both"/>
        <w:textAlignment w:val="baseline"/>
        <w:rPr>
          <w:rStyle w:val="eop"/>
          <w:rFonts w:ascii="Calibri" w:hAnsi="Calibri" w:cs="Calibri"/>
        </w:rPr>
      </w:pPr>
      <w:r w:rsidRPr="000B4649">
        <w:rPr>
          <w:rStyle w:val="normaltextrun"/>
          <w:rFonts w:ascii="Calibri" w:hAnsi="Calibri" w:cs="Calibri"/>
          <w:b/>
          <w:bCs/>
        </w:rPr>
        <w:t>Il souhaiterait que la clause n°21 (document 2 en annexe) soit rajoutée aux statuts. Est-ce possible ? Vous expliquerez à cette occasion l’étendue des pouvoirs des dirigeants. </w:t>
      </w:r>
      <w:r w:rsidRPr="000B4649">
        <w:rPr>
          <w:rStyle w:val="eop"/>
          <w:rFonts w:ascii="Calibri" w:hAnsi="Calibri" w:cs="Calibri"/>
        </w:rPr>
        <w:t> </w:t>
      </w:r>
    </w:p>
    <w:p w14:paraId="4E64D518" w14:textId="0D4FD12A" w:rsidR="000B4649" w:rsidRDefault="000B4649" w:rsidP="000B4649">
      <w:pPr>
        <w:pStyle w:val="paragraph"/>
        <w:spacing w:before="0" w:beforeAutospacing="0" w:after="0" w:afterAutospacing="0"/>
        <w:jc w:val="both"/>
        <w:textAlignment w:val="baseline"/>
        <w:rPr>
          <w:rStyle w:val="eop"/>
          <w:rFonts w:ascii="Calibri" w:hAnsi="Calibri" w:cs="Calibri"/>
        </w:rPr>
      </w:pPr>
    </w:p>
    <w:p w14:paraId="4A17EAC2" w14:textId="2934618F" w:rsidR="000B4649" w:rsidRDefault="008E5F90" w:rsidP="000B4649">
      <w:pPr>
        <w:pStyle w:val="paragraph"/>
        <w:spacing w:before="0" w:beforeAutospacing="0" w:after="0" w:afterAutospacing="0"/>
        <w:jc w:val="both"/>
        <w:textAlignment w:val="baseline"/>
        <w:rPr>
          <w:rFonts w:ascii="Calibri" w:hAnsi="Calibri" w:cs="Calibri"/>
        </w:rPr>
      </w:pPr>
      <w:r>
        <w:rPr>
          <w:rFonts w:ascii="Calibri" w:hAnsi="Calibri" w:cs="Calibri"/>
        </w:rPr>
        <w:t xml:space="preserve">Sujet : révocation du dirigeant </w:t>
      </w:r>
    </w:p>
    <w:p w14:paraId="598F853D" w14:textId="77777777" w:rsidR="00EC7048" w:rsidRDefault="00EC7048" w:rsidP="000B4649">
      <w:pPr>
        <w:pStyle w:val="paragraph"/>
        <w:spacing w:before="0" w:beforeAutospacing="0" w:after="0" w:afterAutospacing="0"/>
        <w:jc w:val="both"/>
        <w:textAlignment w:val="baseline"/>
        <w:rPr>
          <w:rFonts w:ascii="Calibri" w:hAnsi="Calibri" w:cs="Calibri"/>
        </w:rPr>
      </w:pPr>
    </w:p>
    <w:p w14:paraId="13497D09" w14:textId="688DF672" w:rsidR="008E5F90" w:rsidRDefault="00DE19AD" w:rsidP="000B4649">
      <w:pPr>
        <w:pStyle w:val="paragraph"/>
        <w:spacing w:before="0" w:beforeAutospacing="0" w:after="0" w:afterAutospacing="0"/>
        <w:jc w:val="both"/>
        <w:textAlignment w:val="baseline"/>
        <w:rPr>
          <w:rFonts w:ascii="Calibri" w:hAnsi="Calibri" w:cs="Calibri"/>
        </w:rPr>
      </w:pPr>
      <w:r>
        <w:rPr>
          <w:rFonts w:ascii="Calibri" w:hAnsi="Calibri" w:cs="Calibri"/>
        </w:rPr>
        <w:t>Il peut être révoqu</w:t>
      </w:r>
      <w:r w:rsidR="00EC7048">
        <w:rPr>
          <w:rFonts w:ascii="Calibri" w:hAnsi="Calibri" w:cs="Calibri"/>
        </w:rPr>
        <w:t>é</w:t>
      </w:r>
      <w:r>
        <w:rPr>
          <w:rFonts w:ascii="Calibri" w:hAnsi="Calibri" w:cs="Calibri"/>
        </w:rPr>
        <w:t xml:space="preserve"> de deux manières : en AGO ou sur demande en justice. La seule chose que les statuts peuvent faire c’est modifier la règle de majorité applicable. Mais, le fait que le dirigeant puisse être révoqué en AGO ou sur demande de justice c’est une règle d’ordre publique. Une règle d’ordre publique c’est le fait que nous ne pouvons pas y déroger. </w:t>
      </w:r>
      <w:r w:rsidR="00ED0BCA">
        <w:rPr>
          <w:rFonts w:ascii="Calibri" w:hAnsi="Calibri" w:cs="Calibri"/>
        </w:rPr>
        <w:t xml:space="preserve">Ex : vendre du cannabis. Donc aucune clause statutaire ne peut porter atteinte à la faculté de révocation du gérant aux associés.  </w:t>
      </w:r>
    </w:p>
    <w:p w14:paraId="0F2ACD9E" w14:textId="781EE33D" w:rsidR="008E5F90" w:rsidRDefault="008E5F90" w:rsidP="000B4649">
      <w:pPr>
        <w:pStyle w:val="paragraph"/>
        <w:spacing w:before="0" w:beforeAutospacing="0" w:after="0" w:afterAutospacing="0"/>
        <w:jc w:val="both"/>
        <w:textAlignment w:val="baseline"/>
        <w:rPr>
          <w:rFonts w:ascii="Calibri" w:hAnsi="Calibri" w:cs="Calibri"/>
        </w:rPr>
      </w:pPr>
    </w:p>
    <w:p w14:paraId="540087E1" w14:textId="77777777" w:rsidR="008E5F90" w:rsidRPr="000B4649" w:rsidRDefault="008E5F90" w:rsidP="000B4649">
      <w:pPr>
        <w:pStyle w:val="paragraph"/>
        <w:spacing w:before="0" w:beforeAutospacing="0" w:after="0" w:afterAutospacing="0"/>
        <w:jc w:val="both"/>
        <w:textAlignment w:val="baseline"/>
        <w:rPr>
          <w:rFonts w:ascii="Calibri" w:hAnsi="Calibri" w:cs="Calibri"/>
        </w:rPr>
      </w:pPr>
    </w:p>
    <w:p w14:paraId="50A6D9CB" w14:textId="08DA7102" w:rsidR="000B4649" w:rsidRDefault="000B4649" w:rsidP="000B4649">
      <w:pPr>
        <w:pStyle w:val="paragraph"/>
        <w:numPr>
          <w:ilvl w:val="0"/>
          <w:numId w:val="4"/>
        </w:numPr>
        <w:spacing w:before="0" w:beforeAutospacing="0" w:after="0" w:afterAutospacing="0"/>
        <w:jc w:val="both"/>
        <w:textAlignment w:val="baseline"/>
        <w:rPr>
          <w:rStyle w:val="eop"/>
          <w:rFonts w:ascii="Calibri" w:hAnsi="Calibri" w:cs="Calibri"/>
        </w:rPr>
      </w:pPr>
      <w:r w:rsidRPr="000B4649">
        <w:rPr>
          <w:rStyle w:val="normaltextrun"/>
          <w:rFonts w:ascii="Calibri" w:hAnsi="Calibri" w:cs="Calibri"/>
          <w:b/>
          <w:bCs/>
        </w:rPr>
        <w:t>Quel est le statut d’Aurélien dans cette société ? Expliquez-lui les différents droits d’information dont il dispose. </w:t>
      </w:r>
      <w:r w:rsidRPr="000B4649">
        <w:rPr>
          <w:rStyle w:val="eop"/>
          <w:rFonts w:ascii="Calibri" w:hAnsi="Calibri" w:cs="Calibri"/>
        </w:rPr>
        <w:t> </w:t>
      </w:r>
    </w:p>
    <w:p w14:paraId="4B1183DD" w14:textId="77777777" w:rsidR="000B4649" w:rsidRPr="000B4649" w:rsidRDefault="000B4649" w:rsidP="000B4649">
      <w:pPr>
        <w:pStyle w:val="paragraph"/>
        <w:spacing w:before="0" w:beforeAutospacing="0" w:after="0" w:afterAutospacing="0"/>
        <w:jc w:val="both"/>
        <w:textAlignment w:val="baseline"/>
        <w:rPr>
          <w:rFonts w:ascii="Calibri" w:hAnsi="Calibri" w:cs="Calibri"/>
        </w:rPr>
      </w:pPr>
    </w:p>
    <w:p w14:paraId="780524F6" w14:textId="70787F44" w:rsidR="000B4649" w:rsidRDefault="00D967EE" w:rsidP="000B4649">
      <w:pPr>
        <w:jc w:val="both"/>
        <w:rPr>
          <w:color w:val="000000" w:themeColor="text1"/>
        </w:rPr>
      </w:pPr>
      <w:r w:rsidRPr="00D967EE">
        <w:rPr>
          <w:color w:val="000000" w:themeColor="text1"/>
        </w:rPr>
        <w:t xml:space="preserve">L’associé est celui qui réalise un apport, participe aux résultats et dispose de l’affectio societatis (volonté de se regrouper pour avoir une œuvre commune). En contrepartie de l’apport, il reçoit des droits sociaux, prenant le nom de parts dans une SARL </w:t>
      </w:r>
      <w:r>
        <w:rPr>
          <w:color w:val="000000" w:themeColor="text1"/>
        </w:rPr>
        <w:t xml:space="preserve">qui sont des titres de propriété sur cette société. </w:t>
      </w:r>
    </w:p>
    <w:p w14:paraId="59B7588D" w14:textId="69CCF502" w:rsidR="00223A86" w:rsidRDefault="00223A86" w:rsidP="000B4649">
      <w:pPr>
        <w:jc w:val="both"/>
        <w:rPr>
          <w:color w:val="000000" w:themeColor="text1"/>
        </w:rPr>
      </w:pPr>
    </w:p>
    <w:p w14:paraId="4A8396A2" w14:textId="77777777" w:rsidR="00223A86" w:rsidRPr="00223A86" w:rsidRDefault="00223A86" w:rsidP="00223A86">
      <w:pPr>
        <w:numPr>
          <w:ilvl w:val="0"/>
          <w:numId w:val="8"/>
        </w:numPr>
        <w:jc w:val="both"/>
        <w:rPr>
          <w:color w:val="000000" w:themeColor="text1"/>
        </w:rPr>
      </w:pPr>
      <w:r w:rsidRPr="00223A86">
        <w:rPr>
          <w:b/>
          <w:bCs/>
          <w:color w:val="000000" w:themeColor="text1"/>
        </w:rPr>
        <w:t>T</w:t>
      </w:r>
      <w:r w:rsidRPr="00223A86">
        <w:rPr>
          <w:color w:val="000000" w:themeColor="text1"/>
        </w:rPr>
        <w:t xml:space="preserve">out associé a le droit de prendre connaissance d’informations sur la société et dispose des moyens suivants </w:t>
      </w:r>
    </w:p>
    <w:p w14:paraId="3536AECD" w14:textId="77777777" w:rsidR="00223A86" w:rsidRPr="00223A86" w:rsidRDefault="00223A86" w:rsidP="00223A86">
      <w:pPr>
        <w:numPr>
          <w:ilvl w:val="1"/>
          <w:numId w:val="8"/>
        </w:numPr>
        <w:jc w:val="both"/>
        <w:rPr>
          <w:color w:val="000000" w:themeColor="text1"/>
        </w:rPr>
      </w:pPr>
      <w:r w:rsidRPr="00223A86">
        <w:rPr>
          <w:color w:val="000000" w:themeColor="text1"/>
          <w:u w:val="single"/>
        </w:rPr>
        <w:t xml:space="preserve">Information permanente </w:t>
      </w:r>
      <w:r w:rsidRPr="00223A86">
        <w:rPr>
          <w:color w:val="000000" w:themeColor="text1"/>
        </w:rPr>
        <w:t>: communication au siège social des documents sociaux des 3 derniers exercices (comptes annuels, rapports, PV AG, liste des conventions, le bilan social…).</w:t>
      </w:r>
    </w:p>
    <w:p w14:paraId="0DDCC22C" w14:textId="77777777" w:rsidR="00223A86" w:rsidRPr="00223A86" w:rsidRDefault="00223A86" w:rsidP="00223A86">
      <w:pPr>
        <w:numPr>
          <w:ilvl w:val="1"/>
          <w:numId w:val="8"/>
        </w:numPr>
        <w:jc w:val="both"/>
        <w:rPr>
          <w:color w:val="000000" w:themeColor="text1"/>
        </w:rPr>
      </w:pPr>
      <w:r w:rsidRPr="00223A86">
        <w:rPr>
          <w:color w:val="000000" w:themeColor="text1"/>
          <w:u w:val="single"/>
        </w:rPr>
        <w:t xml:space="preserve">Information ponctuelle </w:t>
      </w:r>
      <w:r w:rsidRPr="00223A86">
        <w:rPr>
          <w:color w:val="000000" w:themeColor="text1"/>
        </w:rPr>
        <w:t>avant chaque AG (documents spécifiques à la tenue de l’AG transmis avec la convocation ou consultables au siège social suivant les sociétés).</w:t>
      </w:r>
    </w:p>
    <w:p w14:paraId="6911C156" w14:textId="77777777" w:rsidR="00223A86" w:rsidRPr="00223A86" w:rsidRDefault="00223A86" w:rsidP="00223A86">
      <w:pPr>
        <w:numPr>
          <w:ilvl w:val="1"/>
          <w:numId w:val="8"/>
        </w:numPr>
        <w:jc w:val="both"/>
        <w:rPr>
          <w:color w:val="000000" w:themeColor="text1"/>
        </w:rPr>
      </w:pPr>
      <w:r w:rsidRPr="00223A86">
        <w:rPr>
          <w:color w:val="000000" w:themeColor="text1"/>
          <w:u w:val="single"/>
        </w:rPr>
        <w:t xml:space="preserve">Droit de poser des questions aux dirigeants </w:t>
      </w:r>
      <w:r w:rsidRPr="00223A86">
        <w:rPr>
          <w:color w:val="000000" w:themeColor="text1"/>
        </w:rPr>
        <w:t>à l’occasion d’une AG ou en cas de faits de nature à compromettre la continuité de l’exploitation (2 fois par exercice maximum).</w:t>
      </w:r>
    </w:p>
    <w:p w14:paraId="6932F8A6" w14:textId="77777777" w:rsidR="00223A86" w:rsidRPr="00223A86" w:rsidRDefault="00223A86" w:rsidP="00223A86">
      <w:pPr>
        <w:numPr>
          <w:ilvl w:val="1"/>
          <w:numId w:val="8"/>
        </w:numPr>
        <w:jc w:val="both"/>
        <w:rPr>
          <w:color w:val="000000" w:themeColor="text1"/>
        </w:rPr>
      </w:pPr>
      <w:r w:rsidRPr="00223A86">
        <w:rPr>
          <w:color w:val="000000" w:themeColor="text1"/>
          <w:u w:val="single"/>
        </w:rPr>
        <w:t xml:space="preserve">Droit de demander une expertise de gestion </w:t>
      </w:r>
      <w:r w:rsidRPr="00223A86">
        <w:rPr>
          <w:color w:val="000000" w:themeColor="text1"/>
        </w:rPr>
        <w:t>au Président du Tribunal (les associés doivent réunir 10% du capital dans les SARL et 5% dans les SA (question posée au PCA avant de saisir le TC).</w:t>
      </w:r>
    </w:p>
    <w:p w14:paraId="4D41513E" w14:textId="74B239EB" w:rsidR="00223A86" w:rsidRPr="00223A86" w:rsidRDefault="00223A86" w:rsidP="00223A86">
      <w:pPr>
        <w:jc w:val="both"/>
        <w:rPr>
          <w:color w:val="000000" w:themeColor="text1"/>
        </w:rPr>
      </w:pPr>
      <w:r>
        <w:rPr>
          <w:color w:val="000000" w:themeColor="text1"/>
        </w:rPr>
        <w:lastRenderedPageBreak/>
        <w:t>Aurélien est associé car il a fait 8000€ d’apports en nature</w:t>
      </w:r>
      <w:r w:rsidR="005C41C5">
        <w:rPr>
          <w:color w:val="000000" w:themeColor="text1"/>
        </w:rPr>
        <w:t xml:space="preserve"> et </w:t>
      </w:r>
      <w:r>
        <w:rPr>
          <w:color w:val="000000" w:themeColor="text1"/>
        </w:rPr>
        <w:t>44,5</w:t>
      </w:r>
      <w:r w:rsidR="005C41C5">
        <w:rPr>
          <w:color w:val="000000" w:themeColor="text1"/>
        </w:rPr>
        <w:t>%</w:t>
      </w:r>
      <w:r>
        <w:rPr>
          <w:color w:val="000000" w:themeColor="text1"/>
        </w:rPr>
        <w:t xml:space="preserve"> de capital social. Il est le premier associé mais pas l’associé majoritaire car il détient moins de 50% du capital. </w:t>
      </w:r>
    </w:p>
    <w:sectPr w:rsidR="00223A86" w:rsidRPr="00223A86" w:rsidSect="009F5AE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BB1F" w14:textId="77777777" w:rsidR="004F74B1" w:rsidRDefault="004F74B1" w:rsidP="000B4649">
      <w:r>
        <w:separator/>
      </w:r>
    </w:p>
  </w:endnote>
  <w:endnote w:type="continuationSeparator" w:id="0">
    <w:p w14:paraId="2E4E8CEF" w14:textId="77777777" w:rsidR="004F74B1" w:rsidRDefault="004F74B1" w:rsidP="000B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0780" w14:textId="77777777" w:rsidR="004F74B1" w:rsidRDefault="004F74B1" w:rsidP="000B4649">
      <w:r>
        <w:separator/>
      </w:r>
    </w:p>
  </w:footnote>
  <w:footnote w:type="continuationSeparator" w:id="0">
    <w:p w14:paraId="1390A6C0" w14:textId="77777777" w:rsidR="004F74B1" w:rsidRDefault="004F74B1" w:rsidP="000B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35D7"/>
    <w:multiLevelType w:val="hybridMultilevel"/>
    <w:tmpl w:val="6D9C7EA6"/>
    <w:lvl w:ilvl="0" w:tplc="204E94C2">
      <w:start w:val="1"/>
      <w:numFmt w:val="bullet"/>
      <w:lvlText w:val="¢"/>
      <w:lvlJc w:val="left"/>
      <w:pPr>
        <w:tabs>
          <w:tab w:val="num" w:pos="720"/>
        </w:tabs>
        <w:ind w:left="720" w:hanging="360"/>
      </w:pPr>
      <w:rPr>
        <w:rFonts w:ascii="Wingdings" w:hAnsi="Wingdings" w:hint="default"/>
      </w:rPr>
    </w:lvl>
    <w:lvl w:ilvl="1" w:tplc="5C64CA00">
      <w:numFmt w:val="bullet"/>
      <w:lvlText w:val=""/>
      <w:lvlJc w:val="left"/>
      <w:pPr>
        <w:tabs>
          <w:tab w:val="num" w:pos="1440"/>
        </w:tabs>
        <w:ind w:left="1440" w:hanging="360"/>
      </w:pPr>
      <w:rPr>
        <w:rFonts w:ascii="Wingdings 2" w:hAnsi="Wingdings 2" w:hint="default"/>
      </w:rPr>
    </w:lvl>
    <w:lvl w:ilvl="2" w:tplc="E402B8F8" w:tentative="1">
      <w:start w:val="1"/>
      <w:numFmt w:val="bullet"/>
      <w:lvlText w:val="¢"/>
      <w:lvlJc w:val="left"/>
      <w:pPr>
        <w:tabs>
          <w:tab w:val="num" w:pos="2160"/>
        </w:tabs>
        <w:ind w:left="2160" w:hanging="360"/>
      </w:pPr>
      <w:rPr>
        <w:rFonts w:ascii="Wingdings" w:hAnsi="Wingdings" w:hint="default"/>
      </w:rPr>
    </w:lvl>
    <w:lvl w:ilvl="3" w:tplc="AC000306" w:tentative="1">
      <w:start w:val="1"/>
      <w:numFmt w:val="bullet"/>
      <w:lvlText w:val="¢"/>
      <w:lvlJc w:val="left"/>
      <w:pPr>
        <w:tabs>
          <w:tab w:val="num" w:pos="2880"/>
        </w:tabs>
        <w:ind w:left="2880" w:hanging="360"/>
      </w:pPr>
      <w:rPr>
        <w:rFonts w:ascii="Wingdings" w:hAnsi="Wingdings" w:hint="default"/>
      </w:rPr>
    </w:lvl>
    <w:lvl w:ilvl="4" w:tplc="758C1C6A" w:tentative="1">
      <w:start w:val="1"/>
      <w:numFmt w:val="bullet"/>
      <w:lvlText w:val="¢"/>
      <w:lvlJc w:val="left"/>
      <w:pPr>
        <w:tabs>
          <w:tab w:val="num" w:pos="3600"/>
        </w:tabs>
        <w:ind w:left="3600" w:hanging="360"/>
      </w:pPr>
      <w:rPr>
        <w:rFonts w:ascii="Wingdings" w:hAnsi="Wingdings" w:hint="default"/>
      </w:rPr>
    </w:lvl>
    <w:lvl w:ilvl="5" w:tplc="70C83532" w:tentative="1">
      <w:start w:val="1"/>
      <w:numFmt w:val="bullet"/>
      <w:lvlText w:val="¢"/>
      <w:lvlJc w:val="left"/>
      <w:pPr>
        <w:tabs>
          <w:tab w:val="num" w:pos="4320"/>
        </w:tabs>
        <w:ind w:left="4320" w:hanging="360"/>
      </w:pPr>
      <w:rPr>
        <w:rFonts w:ascii="Wingdings" w:hAnsi="Wingdings" w:hint="default"/>
      </w:rPr>
    </w:lvl>
    <w:lvl w:ilvl="6" w:tplc="300482FC" w:tentative="1">
      <w:start w:val="1"/>
      <w:numFmt w:val="bullet"/>
      <w:lvlText w:val="¢"/>
      <w:lvlJc w:val="left"/>
      <w:pPr>
        <w:tabs>
          <w:tab w:val="num" w:pos="5040"/>
        </w:tabs>
        <w:ind w:left="5040" w:hanging="360"/>
      </w:pPr>
      <w:rPr>
        <w:rFonts w:ascii="Wingdings" w:hAnsi="Wingdings" w:hint="default"/>
      </w:rPr>
    </w:lvl>
    <w:lvl w:ilvl="7" w:tplc="927AE1B6" w:tentative="1">
      <w:start w:val="1"/>
      <w:numFmt w:val="bullet"/>
      <w:lvlText w:val="¢"/>
      <w:lvlJc w:val="left"/>
      <w:pPr>
        <w:tabs>
          <w:tab w:val="num" w:pos="5760"/>
        </w:tabs>
        <w:ind w:left="5760" w:hanging="360"/>
      </w:pPr>
      <w:rPr>
        <w:rFonts w:ascii="Wingdings" w:hAnsi="Wingdings" w:hint="default"/>
      </w:rPr>
    </w:lvl>
    <w:lvl w:ilvl="8" w:tplc="C6FC5C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32978"/>
    <w:multiLevelType w:val="multilevel"/>
    <w:tmpl w:val="1ECA7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C70B69"/>
    <w:multiLevelType w:val="multilevel"/>
    <w:tmpl w:val="B5A630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F239D"/>
    <w:multiLevelType w:val="hybridMultilevel"/>
    <w:tmpl w:val="457897F4"/>
    <w:lvl w:ilvl="0" w:tplc="F84CFD48">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35604F"/>
    <w:multiLevelType w:val="hybridMultilevel"/>
    <w:tmpl w:val="E56C0D12"/>
    <w:lvl w:ilvl="0" w:tplc="0F5CA6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4E6CEF"/>
    <w:multiLevelType w:val="multilevel"/>
    <w:tmpl w:val="DB76E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430CB"/>
    <w:multiLevelType w:val="multilevel"/>
    <w:tmpl w:val="217AB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83B90"/>
    <w:multiLevelType w:val="multilevel"/>
    <w:tmpl w:val="654C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49"/>
    <w:rsid w:val="000B4649"/>
    <w:rsid w:val="00194D5C"/>
    <w:rsid w:val="00223A86"/>
    <w:rsid w:val="002A77D1"/>
    <w:rsid w:val="00415283"/>
    <w:rsid w:val="004F74B1"/>
    <w:rsid w:val="00595C30"/>
    <w:rsid w:val="005C39B1"/>
    <w:rsid w:val="005C41C5"/>
    <w:rsid w:val="005D325A"/>
    <w:rsid w:val="0070211F"/>
    <w:rsid w:val="008E5F90"/>
    <w:rsid w:val="00913131"/>
    <w:rsid w:val="009330CC"/>
    <w:rsid w:val="009F5AEF"/>
    <w:rsid w:val="00B152C4"/>
    <w:rsid w:val="00D967EE"/>
    <w:rsid w:val="00DE19AD"/>
    <w:rsid w:val="00EC7048"/>
    <w:rsid w:val="00ED0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4B69B43"/>
  <w15:chartTrackingRefBased/>
  <w15:docId w15:val="{BDD04D25-CDA4-1D4E-8A09-8D064FC8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A86"/>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4649"/>
    <w:pPr>
      <w:tabs>
        <w:tab w:val="center" w:pos="4536"/>
        <w:tab w:val="right" w:pos="9072"/>
      </w:tabs>
    </w:pPr>
  </w:style>
  <w:style w:type="character" w:customStyle="1" w:styleId="En-tteCar">
    <w:name w:val="En-tête Car"/>
    <w:basedOn w:val="Policepardfaut"/>
    <w:link w:val="En-tte"/>
    <w:uiPriority w:val="99"/>
    <w:rsid w:val="000B4649"/>
  </w:style>
  <w:style w:type="paragraph" w:styleId="Pieddepage">
    <w:name w:val="footer"/>
    <w:basedOn w:val="Normal"/>
    <w:link w:val="PieddepageCar"/>
    <w:uiPriority w:val="99"/>
    <w:unhideWhenUsed/>
    <w:rsid w:val="000B4649"/>
    <w:pPr>
      <w:tabs>
        <w:tab w:val="center" w:pos="4536"/>
        <w:tab w:val="right" w:pos="9072"/>
      </w:tabs>
    </w:pPr>
  </w:style>
  <w:style w:type="character" w:customStyle="1" w:styleId="PieddepageCar">
    <w:name w:val="Pied de page Car"/>
    <w:basedOn w:val="Policepardfaut"/>
    <w:link w:val="Pieddepage"/>
    <w:uiPriority w:val="99"/>
    <w:rsid w:val="000B4649"/>
  </w:style>
  <w:style w:type="paragraph" w:customStyle="1" w:styleId="paragraph">
    <w:name w:val="paragraph"/>
    <w:basedOn w:val="Normal"/>
    <w:rsid w:val="000B4649"/>
    <w:pPr>
      <w:spacing w:before="100" w:beforeAutospacing="1" w:after="100" w:afterAutospacing="1"/>
    </w:pPr>
    <w:rPr>
      <w:rFonts w:ascii="Times New Roman" w:eastAsia="Times New Roman" w:hAnsi="Times New Roman" w:cs="Times New Roman"/>
      <w:lang w:eastAsia="fr-FR"/>
    </w:rPr>
  </w:style>
  <w:style w:type="character" w:customStyle="1" w:styleId="eop">
    <w:name w:val="eop"/>
    <w:basedOn w:val="Policepardfaut"/>
    <w:rsid w:val="000B4649"/>
  </w:style>
  <w:style w:type="character" w:customStyle="1" w:styleId="normaltextrun">
    <w:name w:val="normaltextrun"/>
    <w:basedOn w:val="Policepardfaut"/>
    <w:rsid w:val="000B4649"/>
  </w:style>
  <w:style w:type="paragraph" w:styleId="Paragraphedeliste">
    <w:name w:val="List Paragraph"/>
    <w:basedOn w:val="Normal"/>
    <w:uiPriority w:val="34"/>
    <w:qFormat/>
    <w:rsid w:val="0022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4416">
      <w:bodyDiv w:val="1"/>
      <w:marLeft w:val="0"/>
      <w:marRight w:val="0"/>
      <w:marTop w:val="0"/>
      <w:marBottom w:val="0"/>
      <w:divBdr>
        <w:top w:val="none" w:sz="0" w:space="0" w:color="auto"/>
        <w:left w:val="none" w:sz="0" w:space="0" w:color="auto"/>
        <w:bottom w:val="none" w:sz="0" w:space="0" w:color="auto"/>
        <w:right w:val="none" w:sz="0" w:space="0" w:color="auto"/>
      </w:divBdr>
      <w:divsChild>
        <w:div w:id="1189375554">
          <w:marLeft w:val="432"/>
          <w:marRight w:val="0"/>
          <w:marTop w:val="120"/>
          <w:marBottom w:val="0"/>
          <w:divBdr>
            <w:top w:val="none" w:sz="0" w:space="0" w:color="auto"/>
            <w:left w:val="none" w:sz="0" w:space="0" w:color="auto"/>
            <w:bottom w:val="none" w:sz="0" w:space="0" w:color="auto"/>
            <w:right w:val="none" w:sz="0" w:space="0" w:color="auto"/>
          </w:divBdr>
        </w:div>
        <w:div w:id="1768840092">
          <w:marLeft w:val="1008"/>
          <w:marRight w:val="0"/>
          <w:marTop w:val="91"/>
          <w:marBottom w:val="0"/>
          <w:divBdr>
            <w:top w:val="none" w:sz="0" w:space="0" w:color="auto"/>
            <w:left w:val="none" w:sz="0" w:space="0" w:color="auto"/>
            <w:bottom w:val="none" w:sz="0" w:space="0" w:color="auto"/>
            <w:right w:val="none" w:sz="0" w:space="0" w:color="auto"/>
          </w:divBdr>
        </w:div>
        <w:div w:id="1157115390">
          <w:marLeft w:val="1008"/>
          <w:marRight w:val="0"/>
          <w:marTop w:val="91"/>
          <w:marBottom w:val="0"/>
          <w:divBdr>
            <w:top w:val="none" w:sz="0" w:space="0" w:color="auto"/>
            <w:left w:val="none" w:sz="0" w:space="0" w:color="auto"/>
            <w:bottom w:val="none" w:sz="0" w:space="0" w:color="auto"/>
            <w:right w:val="none" w:sz="0" w:space="0" w:color="auto"/>
          </w:divBdr>
        </w:div>
        <w:div w:id="1069035090">
          <w:marLeft w:val="1008"/>
          <w:marRight w:val="0"/>
          <w:marTop w:val="91"/>
          <w:marBottom w:val="0"/>
          <w:divBdr>
            <w:top w:val="none" w:sz="0" w:space="0" w:color="auto"/>
            <w:left w:val="none" w:sz="0" w:space="0" w:color="auto"/>
            <w:bottom w:val="none" w:sz="0" w:space="0" w:color="auto"/>
            <w:right w:val="none" w:sz="0" w:space="0" w:color="auto"/>
          </w:divBdr>
        </w:div>
        <w:div w:id="99567481">
          <w:marLeft w:val="1008"/>
          <w:marRight w:val="0"/>
          <w:marTop w:val="91"/>
          <w:marBottom w:val="0"/>
          <w:divBdr>
            <w:top w:val="none" w:sz="0" w:space="0" w:color="auto"/>
            <w:left w:val="none" w:sz="0" w:space="0" w:color="auto"/>
            <w:bottom w:val="none" w:sz="0" w:space="0" w:color="auto"/>
            <w:right w:val="none" w:sz="0" w:space="0" w:color="auto"/>
          </w:divBdr>
        </w:div>
      </w:divsChild>
    </w:div>
    <w:div w:id="1183400816">
      <w:bodyDiv w:val="1"/>
      <w:marLeft w:val="0"/>
      <w:marRight w:val="0"/>
      <w:marTop w:val="0"/>
      <w:marBottom w:val="0"/>
      <w:divBdr>
        <w:top w:val="none" w:sz="0" w:space="0" w:color="auto"/>
        <w:left w:val="none" w:sz="0" w:space="0" w:color="auto"/>
        <w:bottom w:val="none" w:sz="0" w:space="0" w:color="auto"/>
        <w:right w:val="none" w:sz="0" w:space="0" w:color="auto"/>
      </w:divBdr>
      <w:divsChild>
        <w:div w:id="1403990041">
          <w:marLeft w:val="0"/>
          <w:marRight w:val="0"/>
          <w:marTop w:val="0"/>
          <w:marBottom w:val="0"/>
          <w:divBdr>
            <w:top w:val="none" w:sz="0" w:space="0" w:color="auto"/>
            <w:left w:val="none" w:sz="0" w:space="0" w:color="auto"/>
            <w:bottom w:val="none" w:sz="0" w:space="0" w:color="auto"/>
            <w:right w:val="none" w:sz="0" w:space="0" w:color="auto"/>
          </w:divBdr>
          <w:divsChild>
            <w:div w:id="1679188204">
              <w:marLeft w:val="0"/>
              <w:marRight w:val="0"/>
              <w:marTop w:val="0"/>
              <w:marBottom w:val="0"/>
              <w:divBdr>
                <w:top w:val="none" w:sz="0" w:space="0" w:color="auto"/>
                <w:left w:val="none" w:sz="0" w:space="0" w:color="auto"/>
                <w:bottom w:val="none" w:sz="0" w:space="0" w:color="auto"/>
                <w:right w:val="none" w:sz="0" w:space="0" w:color="auto"/>
              </w:divBdr>
            </w:div>
            <w:div w:id="1557859007">
              <w:marLeft w:val="0"/>
              <w:marRight w:val="0"/>
              <w:marTop w:val="0"/>
              <w:marBottom w:val="0"/>
              <w:divBdr>
                <w:top w:val="none" w:sz="0" w:space="0" w:color="auto"/>
                <w:left w:val="none" w:sz="0" w:space="0" w:color="auto"/>
                <w:bottom w:val="none" w:sz="0" w:space="0" w:color="auto"/>
                <w:right w:val="none" w:sz="0" w:space="0" w:color="auto"/>
              </w:divBdr>
            </w:div>
            <w:div w:id="1240873136">
              <w:marLeft w:val="0"/>
              <w:marRight w:val="0"/>
              <w:marTop w:val="0"/>
              <w:marBottom w:val="0"/>
              <w:divBdr>
                <w:top w:val="none" w:sz="0" w:space="0" w:color="auto"/>
                <w:left w:val="none" w:sz="0" w:space="0" w:color="auto"/>
                <w:bottom w:val="none" w:sz="0" w:space="0" w:color="auto"/>
                <w:right w:val="none" w:sz="0" w:space="0" w:color="auto"/>
              </w:divBdr>
            </w:div>
            <w:div w:id="236405162">
              <w:marLeft w:val="0"/>
              <w:marRight w:val="0"/>
              <w:marTop w:val="0"/>
              <w:marBottom w:val="0"/>
              <w:divBdr>
                <w:top w:val="none" w:sz="0" w:space="0" w:color="auto"/>
                <w:left w:val="none" w:sz="0" w:space="0" w:color="auto"/>
                <w:bottom w:val="none" w:sz="0" w:space="0" w:color="auto"/>
                <w:right w:val="none" w:sz="0" w:space="0" w:color="auto"/>
              </w:divBdr>
            </w:div>
            <w:div w:id="410464271">
              <w:marLeft w:val="0"/>
              <w:marRight w:val="0"/>
              <w:marTop w:val="0"/>
              <w:marBottom w:val="0"/>
              <w:divBdr>
                <w:top w:val="none" w:sz="0" w:space="0" w:color="auto"/>
                <w:left w:val="none" w:sz="0" w:space="0" w:color="auto"/>
                <w:bottom w:val="none" w:sz="0" w:space="0" w:color="auto"/>
                <w:right w:val="none" w:sz="0" w:space="0" w:color="auto"/>
              </w:divBdr>
            </w:div>
          </w:divsChild>
        </w:div>
        <w:div w:id="705369211">
          <w:marLeft w:val="0"/>
          <w:marRight w:val="0"/>
          <w:marTop w:val="0"/>
          <w:marBottom w:val="0"/>
          <w:divBdr>
            <w:top w:val="none" w:sz="0" w:space="0" w:color="auto"/>
            <w:left w:val="none" w:sz="0" w:space="0" w:color="auto"/>
            <w:bottom w:val="none" w:sz="0" w:space="0" w:color="auto"/>
            <w:right w:val="none" w:sz="0" w:space="0" w:color="auto"/>
          </w:divBdr>
          <w:divsChild>
            <w:div w:id="8543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738</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EofficePSLA</dc:creator>
  <cp:keywords/>
  <dc:description/>
  <cp:lastModifiedBy>EofficePSLA</cp:lastModifiedBy>
  <cp:revision>16</cp:revision>
  <dcterms:created xsi:type="dcterms:W3CDTF">2022-03-01T14:36:00Z</dcterms:created>
  <dcterms:modified xsi:type="dcterms:W3CDTF">2022-03-01T15:32:00Z</dcterms:modified>
</cp:coreProperties>
</file>